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  <w:r>
        <w:rPr>
          <w:rFonts w:ascii="Times New Roman" w:hAnsi="Times New Roman" w:cs="Times New Roman"/>
          <w:sz w:val="20"/>
          <w:szCs w:val="20"/>
        </w:rPr>
        <w:br/>
        <w:t xml:space="preserve">министерства экономики Краснодарского края </w:t>
      </w:r>
      <w:r>
        <w:rPr>
          <w:rFonts w:ascii="Times New Roman" w:hAnsi="Times New Roman" w:cs="Times New Roman"/>
          <w:sz w:val="20"/>
          <w:szCs w:val="20"/>
        </w:rPr>
        <w:br/>
        <w:t>от _____________ № _______________________</w:t>
      </w:r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EA44C6" w:rsidRPr="00EA44C6">
        <w:rPr>
          <w:rFonts w:ascii="Times New Roman" w:hAnsi="Times New Roman" w:cs="Times New Roman"/>
          <w:sz w:val="20"/>
        </w:rPr>
        <w:t>0</w:t>
      </w:r>
      <w:r w:rsidR="00F977DC">
        <w:rPr>
          <w:rFonts w:ascii="Times New Roman" w:hAnsi="Times New Roman" w:cs="Times New Roman"/>
          <w:sz w:val="20"/>
        </w:rPr>
        <w:t>8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proofErr w:type="gramStart"/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B516EB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  <w:bookmarkStart w:id="0" w:name="_GoBack"/>
            <w:bookmarkEnd w:id="0"/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395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7B63-4B52-4C44-8F7A-D8A1629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Никулина Ольга Григорьевна</cp:lastModifiedBy>
  <cp:revision>4</cp:revision>
  <cp:lastPrinted>2022-09-05T08:30:00Z</cp:lastPrinted>
  <dcterms:created xsi:type="dcterms:W3CDTF">2022-09-08T11:15:00Z</dcterms:created>
  <dcterms:modified xsi:type="dcterms:W3CDTF">2022-09-08T11:59:00Z</dcterms:modified>
</cp:coreProperties>
</file>